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CFB7" w14:textId="77777777" w:rsidR="006F64CC" w:rsidRDefault="00A27FDF" w:rsidP="006F64CC">
      <w:pPr>
        <w:widowControl w:val="0"/>
        <w:spacing w:after="0" w:line="259" w:lineRule="auto"/>
        <w:ind w:right="164" w:hanging="709"/>
        <w:rPr>
          <w:rFonts w:ascii="Times New Roman" w:eastAsia="Times New Roman" w:hAnsi="Times New Roman"/>
          <w:b/>
          <w:sz w:val="18"/>
          <w:szCs w:val="18"/>
        </w:rPr>
      </w:pPr>
      <w:r>
        <w:rPr>
          <w:noProof/>
          <w14:ligatures w14:val="standardContextual"/>
        </w:rPr>
        <w:drawing>
          <wp:inline distT="0" distB="0" distL="0" distR="0" wp14:anchorId="0B3BDA1B" wp14:editId="0A9BE0BC">
            <wp:extent cx="1995777" cy="655330"/>
            <wp:effectExtent l="0" t="0" r="5080" b="0"/>
            <wp:docPr id="361391414" name="Рисунок 1" descr="Изображение выглядит как Шрифт, Графика, логотип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91414" name="Рисунок 1" descr="Изображение выглядит как Шрифт, Графика, логотип, символ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3230" cy="65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FDF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</w:rPr>
        <w:t xml:space="preserve">О ПОЛНОМОЧИЯХ, ПРЕДОСТАВЛЕННЫХ </w:t>
      </w:r>
      <w:r w:rsidR="006F64CC">
        <w:rPr>
          <w:rFonts w:ascii="Times New Roman" w:eastAsia="Times New Roman" w:hAnsi="Times New Roman"/>
          <w:b/>
          <w:sz w:val="18"/>
          <w:szCs w:val="18"/>
        </w:rPr>
        <w:t xml:space="preserve">СТРАХОВЩИКОМ </w:t>
      </w:r>
    </w:p>
    <w:p w14:paraId="725A182C" w14:textId="3857BBE4" w:rsidR="00A27FDF" w:rsidRDefault="006F64CC" w:rsidP="006F64CC">
      <w:pPr>
        <w:widowControl w:val="0"/>
        <w:spacing w:after="0" w:line="259" w:lineRule="auto"/>
        <w:ind w:right="164" w:hanging="709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</w:t>
      </w:r>
      <w:r w:rsidR="00A27FDF">
        <w:rPr>
          <w:rFonts w:ascii="Times New Roman" w:eastAsia="Times New Roman" w:hAnsi="Times New Roman"/>
          <w:b/>
          <w:sz w:val="18"/>
          <w:szCs w:val="18"/>
        </w:rPr>
        <w:t>АО «Д2 СТРАХОВАНИЕ»</w:t>
      </w:r>
      <w:r w:rsidR="00A27FDF" w:rsidRPr="00C374B0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A27FDF">
        <w:rPr>
          <w:rFonts w:ascii="Times New Roman" w:eastAsia="Times New Roman" w:hAnsi="Times New Roman"/>
          <w:b/>
          <w:sz w:val="18"/>
          <w:szCs w:val="18"/>
        </w:rPr>
        <w:t>СТРАХОВЫМ АГЕНТАМ</w:t>
      </w:r>
    </w:p>
    <w:p w14:paraId="0E4B08DD" w14:textId="77777777" w:rsidR="006F64CC" w:rsidRDefault="006F64CC" w:rsidP="006F64CC">
      <w:pPr>
        <w:widowControl w:val="0"/>
        <w:spacing w:after="0" w:line="259" w:lineRule="auto"/>
        <w:ind w:right="164" w:hanging="709"/>
        <w:rPr>
          <w:rFonts w:ascii="Times New Roman" w:eastAsia="Times New Roman" w:hAnsi="Times New Roman"/>
          <w:b/>
          <w:sz w:val="18"/>
          <w:szCs w:val="18"/>
        </w:rPr>
      </w:pPr>
    </w:p>
    <w:p w14:paraId="1A83A563" w14:textId="46468607" w:rsidR="00B80545" w:rsidRPr="00F82C59" w:rsidRDefault="006F64CC" w:rsidP="006F64CC">
      <w:pPr>
        <w:widowControl w:val="0"/>
        <w:spacing w:before="76" w:after="160" w:line="259" w:lineRule="auto"/>
        <w:ind w:left="63" w:right="167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2C59">
        <w:rPr>
          <w:rFonts w:ascii="Times New Roman" w:eastAsia="Times New Roman" w:hAnsi="Times New Roman"/>
          <w:b/>
          <w:sz w:val="20"/>
          <w:szCs w:val="20"/>
        </w:rPr>
        <w:t xml:space="preserve">Страховым агентам, с которыми </w:t>
      </w:r>
      <w:r w:rsidR="00A27FDF" w:rsidRPr="00F82C59">
        <w:rPr>
          <w:rFonts w:ascii="Times New Roman" w:eastAsia="Times New Roman" w:hAnsi="Times New Roman"/>
          <w:b/>
          <w:sz w:val="20"/>
          <w:szCs w:val="20"/>
        </w:rPr>
        <w:t>АО «Д2 Страхование»</w:t>
      </w:r>
      <w:r w:rsidRPr="00F82C59">
        <w:rPr>
          <w:rFonts w:ascii="Times New Roman" w:eastAsia="Times New Roman" w:hAnsi="Times New Roman"/>
          <w:b/>
          <w:sz w:val="20"/>
          <w:szCs w:val="20"/>
        </w:rPr>
        <w:t xml:space="preserve"> заключены агентские договоры, предоставлены</w:t>
      </w:r>
      <w:r w:rsidR="00A27FDF" w:rsidRPr="00F82C5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F82C59">
        <w:rPr>
          <w:rFonts w:ascii="Times New Roman" w:eastAsia="Times New Roman" w:hAnsi="Times New Roman"/>
          <w:b/>
          <w:sz w:val="20"/>
          <w:szCs w:val="20"/>
        </w:rPr>
        <w:t>полномочия на</w:t>
      </w:r>
      <w:r w:rsidR="00B80545" w:rsidRPr="00F82C59">
        <w:rPr>
          <w:rFonts w:ascii="Times New Roman" w:eastAsia="Times New Roman" w:hAnsi="Times New Roman"/>
          <w:b/>
          <w:sz w:val="20"/>
          <w:szCs w:val="20"/>
        </w:rPr>
        <w:t xml:space="preserve"> в</w:t>
      </w:r>
      <w:r w:rsidR="00B80545" w:rsidRPr="00F82C59">
        <w:rPr>
          <w:rFonts w:ascii="Times New Roman" w:eastAsiaTheme="minorHAnsi" w:hAnsi="Times New Roman"/>
          <w:b/>
          <w:kern w:val="2"/>
          <w:sz w:val="20"/>
          <w:szCs w:val="20"/>
        </w:rPr>
        <w:t xml:space="preserve">ыполнение </w:t>
      </w:r>
      <w:r w:rsidRPr="00F82C59">
        <w:rPr>
          <w:rFonts w:ascii="Times New Roman" w:eastAsiaTheme="minorHAnsi" w:hAnsi="Times New Roman"/>
          <w:b/>
          <w:kern w:val="2"/>
          <w:sz w:val="20"/>
          <w:szCs w:val="20"/>
        </w:rPr>
        <w:t xml:space="preserve">следующих </w:t>
      </w:r>
      <w:r w:rsidR="00B80545" w:rsidRPr="00F82C59">
        <w:rPr>
          <w:rFonts w:ascii="Times New Roman" w:eastAsiaTheme="minorHAnsi" w:hAnsi="Times New Roman"/>
          <w:b/>
          <w:kern w:val="2"/>
          <w:sz w:val="20"/>
          <w:szCs w:val="20"/>
        </w:rPr>
        <w:t>д</w:t>
      </w:r>
      <w:r w:rsidR="00B80545" w:rsidRPr="00F82C59">
        <w:rPr>
          <w:rFonts w:ascii="Times New Roman" w:eastAsiaTheme="minorHAnsi" w:hAnsi="Times New Roman"/>
          <w:b/>
          <w:color w:val="000000"/>
          <w:kern w:val="2"/>
          <w:sz w:val="20"/>
          <w:szCs w:val="20"/>
        </w:rPr>
        <w:t>ействий</w:t>
      </w:r>
      <w:r w:rsidR="00B80545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:</w:t>
      </w:r>
    </w:p>
    <w:p w14:paraId="476C8A8D" w14:textId="77777777" w:rsidR="00B80545" w:rsidRPr="00F82C59" w:rsidRDefault="00B80545" w:rsidP="00C30808">
      <w:pPr>
        <w:widowControl w:val="0"/>
        <w:numPr>
          <w:ilvl w:val="0"/>
          <w:numId w:val="1"/>
        </w:numPr>
        <w:tabs>
          <w:tab w:val="left" w:pos="464"/>
        </w:tabs>
        <w:overflowPunct w:val="0"/>
        <w:autoSpaceDE w:val="0"/>
        <w:autoSpaceDN w:val="0"/>
        <w:adjustRightInd w:val="0"/>
        <w:spacing w:after="0" w:line="240" w:lineRule="auto"/>
        <w:ind w:left="0" w:right="164" w:firstLine="63"/>
        <w:contextualSpacing/>
        <w:jc w:val="both"/>
        <w:textAlignment w:val="baseline"/>
        <w:outlineLvl w:val="2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поиск и привлечение п</w:t>
      </w:r>
      <w:r w:rsidRPr="00F82C59">
        <w:rPr>
          <w:rFonts w:ascii="Times New Roman" w:eastAsiaTheme="minorHAnsi" w:hAnsi="Times New Roman"/>
          <w:kern w:val="2"/>
          <w:sz w:val="20"/>
          <w:szCs w:val="20"/>
        </w:rPr>
        <w:t>олучателей страховых услуг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для оформления договоров (полисов) страхования;</w:t>
      </w:r>
    </w:p>
    <w:p w14:paraId="2A0C226C" w14:textId="3DD23E58" w:rsidR="00B80545" w:rsidRPr="00F82C59" w:rsidRDefault="00B80545" w:rsidP="00C30808">
      <w:pPr>
        <w:widowControl w:val="0"/>
        <w:numPr>
          <w:ilvl w:val="0"/>
          <w:numId w:val="1"/>
        </w:numPr>
        <w:tabs>
          <w:tab w:val="left" w:pos="464"/>
        </w:tabs>
        <w:overflowPunct w:val="0"/>
        <w:autoSpaceDE w:val="0"/>
        <w:autoSpaceDN w:val="0"/>
        <w:adjustRightInd w:val="0"/>
        <w:spacing w:after="0" w:line="240" w:lineRule="auto"/>
        <w:ind w:left="0" w:right="164" w:firstLine="63"/>
        <w:contextualSpacing/>
        <w:jc w:val="both"/>
        <w:textAlignment w:val="baseline"/>
        <w:outlineLvl w:val="2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="Times New Roman" w:hAnsi="Times New Roman"/>
          <w:bCs/>
          <w:sz w:val="20"/>
          <w:szCs w:val="20"/>
        </w:rPr>
        <w:t>информирование получателей страховых услуг о страховщике, об условиях договора (полиса) страхования, о правилах (программах) страхования, составленных страховщиком, в том числе р</w:t>
      </w:r>
      <w:r w:rsidRPr="00F82C59">
        <w:rPr>
          <w:rFonts w:ascii="Times New Roman" w:eastAsiaTheme="minorHAnsi" w:hAnsi="Times New Roman"/>
          <w:bCs/>
          <w:color w:val="000000"/>
          <w:kern w:val="2"/>
          <w:sz w:val="20"/>
          <w:szCs w:val="20"/>
        </w:rPr>
        <w:t>азъяснение порядка и условий страхования, положений, содержащихся в правилах (программах) страхования (</w:t>
      </w:r>
      <w:r w:rsidRPr="00F82C59">
        <w:rPr>
          <w:rFonts w:ascii="Times New Roman" w:hAnsi="Times New Roman"/>
          <w:bCs/>
          <w:sz w:val="20"/>
          <w:szCs w:val="20"/>
        </w:rPr>
        <w:t>включая сведения об ограничениях по приему на страхование, о страховых тарифах, об условиях возврата страховой премии при досрочном прекращении договора (полиса) страхования по инициативе получателя страховой услуги),</w:t>
      </w:r>
      <w:r w:rsidRPr="00F82C59">
        <w:rPr>
          <w:rFonts w:ascii="Times New Roman" w:eastAsiaTheme="minorHAnsi" w:hAnsi="Times New Roman"/>
          <w:bCs/>
          <w:color w:val="000000"/>
          <w:kern w:val="2"/>
          <w:sz w:val="20"/>
          <w:szCs w:val="20"/>
        </w:rPr>
        <w:t xml:space="preserve"> </w:t>
      </w:r>
      <w:r w:rsidRPr="00F82C59">
        <w:rPr>
          <w:rFonts w:ascii="Times New Roman" w:hAnsi="Times New Roman"/>
          <w:sz w:val="20"/>
          <w:szCs w:val="20"/>
        </w:rPr>
        <w:t>о порядке рассмотрения обращений получателей страховых услуг с указанием адресов и способов приема обращений страховщиком;</w:t>
      </w:r>
    </w:p>
    <w:p w14:paraId="2E914747" w14:textId="669FB925" w:rsidR="00B80545" w:rsidRPr="00F82C59" w:rsidRDefault="00B80545" w:rsidP="00C30808">
      <w:pPr>
        <w:widowControl w:val="0"/>
        <w:numPr>
          <w:ilvl w:val="0"/>
          <w:numId w:val="1"/>
        </w:numPr>
        <w:shd w:val="clear" w:color="auto" w:fill="FFFFFF"/>
        <w:tabs>
          <w:tab w:val="left" w:pos="464"/>
        </w:tabs>
        <w:spacing w:after="0" w:line="240" w:lineRule="auto"/>
        <w:ind w:left="0" w:right="164" w:firstLine="63"/>
        <w:contextualSpacing/>
        <w:jc w:val="both"/>
        <w:rPr>
          <w:rFonts w:ascii="Times New Roman" w:eastAsia="Times New Roman" w:hAnsi="Times New Roman"/>
          <w:color w:val="000000"/>
          <w:kern w:val="2"/>
          <w:sz w:val="20"/>
          <w:szCs w:val="20"/>
          <w:lang w:eastAsia="ru-RU"/>
        </w:rPr>
      </w:pPr>
      <w:r w:rsidRPr="00F82C59">
        <w:rPr>
          <w:rFonts w:ascii="Times New Roman" w:eastAsia="Times New Roman" w:hAnsi="Times New Roman"/>
          <w:bCs/>
          <w:sz w:val="20"/>
          <w:szCs w:val="20"/>
        </w:rPr>
        <w:t>п</w:t>
      </w:r>
      <w:r w:rsidRPr="00F82C59">
        <w:rPr>
          <w:rFonts w:ascii="Times New Roman" w:eastAsiaTheme="minorHAnsi" w:hAnsi="Times New Roman"/>
          <w:bCs/>
          <w:color w:val="000000"/>
          <w:kern w:val="2"/>
          <w:sz w:val="20"/>
          <w:szCs w:val="20"/>
        </w:rPr>
        <w:t>редоставление получателям страховых услуг иной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информации, предусмотренной Федеральным законом от 27.11.1992 № 4015-1 «Об организации страхового дела в Российской Федерации», «Базовым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организаций, объединяющих страховые организации и иностранные страховые организации», «</w:t>
      </w:r>
      <w:r w:rsidRPr="00F82C59">
        <w:rPr>
          <w:rFonts w:ascii="Times New Roman" w:eastAsia="Times New Roman" w:hAnsi="Times New Roman"/>
          <w:kern w:val="2"/>
          <w:sz w:val="20"/>
          <w:szCs w:val="20"/>
          <w:lang w:eastAsia="ru-RU"/>
        </w:rPr>
        <w:t>Базовым стандартом совершения страховыми организациями и иностранными страховыми организациями операций на финансовом рынке»;</w:t>
      </w:r>
    </w:p>
    <w:p w14:paraId="1668318F" w14:textId="5ED05D1F" w:rsidR="00B80545" w:rsidRPr="00F82C59" w:rsidRDefault="00B80545" w:rsidP="00C30808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right="164" w:firstLine="63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ознакомление получателей страховых услуг до заключения договора (полиса) страхования с ключевым информационным документом, содержащим информацию, установленную требованиями Банка России, саморегулируемых организаций, объединяющих страховые организации (далее – КИД), если по данному страховому продукту / виду страхования предусмотрено использование КИД;</w:t>
      </w:r>
    </w:p>
    <w:p w14:paraId="3641E85B" w14:textId="3A5E2AC7" w:rsidR="00B80545" w:rsidRPr="00F82C59" w:rsidRDefault="00B80545" w:rsidP="00C30808">
      <w:pPr>
        <w:widowControl w:val="0"/>
        <w:numPr>
          <w:ilvl w:val="0"/>
          <w:numId w:val="1"/>
        </w:numPr>
        <w:shd w:val="clear" w:color="auto" w:fill="FFFFFF"/>
        <w:tabs>
          <w:tab w:val="left" w:pos="205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right="164" w:firstLine="63"/>
        <w:contextualSpacing/>
        <w:jc w:val="both"/>
        <w:textAlignment w:val="baseline"/>
        <w:outlineLvl w:val="2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ведение переговоров с получателем страховых услуг (в случае избрания получателем страховых услуги АО «Д2 Страхование» в качестве страховой организации и желании воспользоваться его услугами) о заключении с </w:t>
      </w:r>
      <w:r w:rsidR="00C30808">
        <w:rPr>
          <w:rFonts w:ascii="Times New Roman" w:eastAsiaTheme="minorHAnsi" w:hAnsi="Times New Roman"/>
          <w:color w:val="000000"/>
          <w:kern w:val="2"/>
          <w:sz w:val="20"/>
          <w:szCs w:val="20"/>
        </w:rPr>
        <w:t>АО «Д2 Страхование»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договоров (полисов) страхования по страховым продуктам / видам страхования</w:t>
      </w:r>
      <w:r w:rsidR="00C30808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(</w:t>
      </w:r>
      <w:r w:rsidRPr="00F82C59">
        <w:rPr>
          <w:rFonts w:ascii="Times New Roman" w:eastAsiaTheme="minorHAnsi" w:hAnsi="Times New Roman"/>
          <w:kern w:val="2"/>
          <w:sz w:val="20"/>
          <w:szCs w:val="20"/>
        </w:rPr>
        <w:t>п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ри этом с</w:t>
      </w:r>
      <w:r w:rsidRPr="00F82C59">
        <w:rPr>
          <w:rFonts w:ascii="Times New Roman" w:eastAsiaTheme="minorHAnsi" w:hAnsi="Times New Roman"/>
          <w:kern w:val="2"/>
          <w:sz w:val="20"/>
          <w:szCs w:val="20"/>
        </w:rPr>
        <w:t>траховой а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гент информирует </w:t>
      </w:r>
      <w:r w:rsidRPr="00F82C59">
        <w:rPr>
          <w:rFonts w:ascii="Times New Roman" w:eastAsiaTheme="minorHAnsi" w:hAnsi="Times New Roman"/>
          <w:kern w:val="2"/>
          <w:sz w:val="20"/>
          <w:szCs w:val="20"/>
        </w:rPr>
        <w:t>получателей страховых услуг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о возможности заключения договоров (полисов) страхования с любой иной страховой компанией);</w:t>
      </w:r>
    </w:p>
    <w:p w14:paraId="197BC7BF" w14:textId="2346B38B" w:rsidR="00B80545" w:rsidRPr="00F82C59" w:rsidRDefault="00B80545" w:rsidP="00C30808">
      <w:pPr>
        <w:widowControl w:val="0"/>
        <w:numPr>
          <w:ilvl w:val="0"/>
          <w:numId w:val="1"/>
        </w:numPr>
        <w:shd w:val="clear" w:color="auto" w:fill="FFFFFF"/>
        <w:tabs>
          <w:tab w:val="left" w:pos="205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right="164" w:firstLine="63"/>
        <w:contextualSpacing/>
        <w:jc w:val="both"/>
        <w:textAlignment w:val="baseline"/>
        <w:outlineLvl w:val="2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самост</w:t>
      </w:r>
      <w:r w:rsidRPr="00F82C59">
        <w:rPr>
          <w:rFonts w:ascii="Times New Roman" w:hAnsi="Times New Roman"/>
          <w:sz w:val="20"/>
          <w:szCs w:val="20"/>
        </w:rPr>
        <w:t>оятельное оформление договора (полиса) страхования и вручение его получателю страховых услуг со всеми необходимыми приложениями;</w:t>
      </w:r>
    </w:p>
    <w:p w14:paraId="3CAAB850" w14:textId="6A62B376" w:rsidR="00B80545" w:rsidRPr="00F82C59" w:rsidRDefault="00B80545" w:rsidP="00C30808">
      <w:pPr>
        <w:widowControl w:val="0"/>
        <w:numPr>
          <w:ilvl w:val="0"/>
          <w:numId w:val="1"/>
        </w:numPr>
        <w:shd w:val="clear" w:color="auto" w:fill="FFFFFF"/>
        <w:tabs>
          <w:tab w:val="left" w:pos="313"/>
        </w:tabs>
        <w:spacing w:after="0" w:line="240" w:lineRule="auto"/>
        <w:ind w:left="0" w:right="164" w:firstLine="38"/>
        <w:contextualSpacing/>
        <w:jc w:val="both"/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</w:t>
      </w:r>
      <w:r w:rsid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выполнение действий, связанных с получением страховых премий и перечислением их страховщику.</w:t>
      </w:r>
    </w:p>
    <w:p w14:paraId="7C6DAB4D" w14:textId="77777777" w:rsidR="00B80545" w:rsidRPr="00F82C59" w:rsidRDefault="00B80545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</w:pPr>
    </w:p>
    <w:p w14:paraId="2D8D5045" w14:textId="77777777" w:rsidR="007A3416" w:rsidRDefault="006F64CC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С информацией о п</w:t>
      </w:r>
      <w:r w:rsidR="00A27FDF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редлагаемы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х</w:t>
      </w:r>
      <w:r w:rsidR="00A27FDF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АО «Д2 Страхование» </w:t>
      </w:r>
      <w:r w:rsidR="00A27FDF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с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т</w:t>
      </w:r>
      <w:r w:rsidR="00A27FDF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раховы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х</w:t>
      </w:r>
      <w:r w:rsidR="00A27FDF"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продукт</w:t>
      </w:r>
      <w:r w:rsidRPr="00F82C59">
        <w:rPr>
          <w:rFonts w:ascii="Times New Roman" w:eastAsiaTheme="minorHAnsi" w:hAnsi="Times New Roman"/>
          <w:color w:val="000000"/>
          <w:kern w:val="2"/>
          <w:sz w:val="20"/>
          <w:szCs w:val="20"/>
        </w:rPr>
        <w:t>ах получатель страховой услуги может ознакомиться на сайте страховщика</w:t>
      </w:r>
      <w:r w:rsidR="007A3416">
        <w:rPr>
          <w:rFonts w:ascii="Times New Roman" w:eastAsiaTheme="minorHAnsi" w:hAnsi="Times New Roman"/>
          <w:color w:val="000000"/>
          <w:kern w:val="2"/>
          <w:sz w:val="20"/>
          <w:szCs w:val="20"/>
        </w:rPr>
        <w:t>:</w:t>
      </w:r>
    </w:p>
    <w:p w14:paraId="19EB3B37" w14:textId="374A24EB" w:rsidR="007A3416" w:rsidRDefault="007A3416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>
        <w:rPr>
          <w:rFonts w:ascii="Times New Roman" w:eastAsiaTheme="minorHAnsi" w:hAnsi="Times New Roman"/>
          <w:color w:val="000000"/>
          <w:kern w:val="2"/>
          <w:sz w:val="20"/>
          <w:szCs w:val="20"/>
        </w:rPr>
        <w:t>Правила страхования:</w:t>
      </w:r>
      <w:bookmarkStart w:id="0" w:name="_Hlk183612004"/>
      <w:r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 </w:t>
      </w:r>
      <w:hyperlink r:id="rId8" w:history="1">
        <w:r w:rsidRPr="00157EB5">
          <w:rPr>
            <w:rStyle w:val="af3"/>
            <w:rFonts w:ascii="Times New Roman" w:eastAsiaTheme="minorHAnsi" w:hAnsi="Times New Roman"/>
            <w:kern w:val="2"/>
            <w:sz w:val="20"/>
            <w:szCs w:val="20"/>
          </w:rPr>
          <w:t>https://www.d2insur.ru/rules/</w:t>
        </w:r>
      </w:hyperlink>
    </w:p>
    <w:p w14:paraId="7FCFEB54" w14:textId="1339B8F1" w:rsidR="007A3416" w:rsidRDefault="007A3416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Программы страхования: </w:t>
      </w:r>
      <w:hyperlink r:id="rId9" w:history="1">
        <w:r w:rsidRPr="00157EB5">
          <w:rPr>
            <w:rStyle w:val="af3"/>
            <w:rFonts w:ascii="Times New Roman" w:eastAsiaTheme="minorHAnsi" w:hAnsi="Times New Roman"/>
            <w:kern w:val="2"/>
            <w:sz w:val="20"/>
            <w:szCs w:val="20"/>
          </w:rPr>
          <w:t>https://www.d2insur.ru/programms-insur/</w:t>
        </w:r>
      </w:hyperlink>
    </w:p>
    <w:p w14:paraId="318C14CA" w14:textId="2914419D" w:rsidR="007A3416" w:rsidRDefault="007A3416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  <w:r>
        <w:rPr>
          <w:rFonts w:ascii="Times New Roman" w:eastAsiaTheme="minorHAnsi" w:hAnsi="Times New Roman"/>
          <w:color w:val="000000"/>
          <w:kern w:val="2"/>
          <w:sz w:val="20"/>
          <w:szCs w:val="20"/>
        </w:rPr>
        <w:t xml:space="preserve">Оферты страхования </w:t>
      </w:r>
      <w:hyperlink r:id="rId10" w:history="1">
        <w:r w:rsidRPr="00157EB5">
          <w:rPr>
            <w:rStyle w:val="af3"/>
            <w:rFonts w:ascii="Times New Roman" w:eastAsiaTheme="minorHAnsi" w:hAnsi="Times New Roman"/>
            <w:kern w:val="2"/>
            <w:sz w:val="20"/>
            <w:szCs w:val="20"/>
          </w:rPr>
          <w:t>https://www.d2insur.ru/public-offers/</w:t>
        </w:r>
      </w:hyperlink>
    </w:p>
    <w:p w14:paraId="1B3367E1" w14:textId="0925E35A" w:rsidR="00A27FDF" w:rsidRPr="00F82C59" w:rsidRDefault="00A27FDF" w:rsidP="00B80545">
      <w:pPr>
        <w:widowControl w:val="0"/>
        <w:shd w:val="clear" w:color="auto" w:fill="FFFFFF"/>
        <w:tabs>
          <w:tab w:val="left" w:pos="313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color w:val="000000"/>
          <w:kern w:val="2"/>
          <w:sz w:val="20"/>
          <w:szCs w:val="20"/>
        </w:rPr>
      </w:pPr>
    </w:p>
    <w:bookmarkEnd w:id="0"/>
    <w:p w14:paraId="53545AF1" w14:textId="77777777" w:rsidR="00A27FDF" w:rsidRPr="00F82C59" w:rsidRDefault="00A27FDF" w:rsidP="00B80545">
      <w:pPr>
        <w:widowControl w:val="0"/>
        <w:shd w:val="clear" w:color="auto" w:fill="FFFFFF"/>
        <w:tabs>
          <w:tab w:val="left" w:pos="464"/>
        </w:tabs>
        <w:spacing w:after="160" w:line="259" w:lineRule="auto"/>
        <w:ind w:right="167"/>
        <w:contextualSpacing/>
        <w:jc w:val="both"/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</w:pPr>
    </w:p>
    <w:p w14:paraId="1651ABCD" w14:textId="45AE85EB" w:rsidR="00B80545" w:rsidRPr="00F82C59" w:rsidRDefault="00B80545" w:rsidP="00C30808">
      <w:pPr>
        <w:widowControl w:val="0"/>
        <w:shd w:val="clear" w:color="auto" w:fill="FFFFFF"/>
        <w:tabs>
          <w:tab w:val="left" w:pos="464"/>
        </w:tabs>
        <w:spacing w:after="0" w:line="240" w:lineRule="auto"/>
        <w:ind w:right="164"/>
        <w:contextualSpacing/>
        <w:jc w:val="both"/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</w:pPr>
      <w:r w:rsidRPr="00F82C59"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  <w:t>Страховой агент не уполномочен страховщиком на выполнение действий по исполнению, изменению и расторжению договоров (полисов) страхования. По вопросам исполнения, изменения и расторжения договоров (полисов) страхования необходимо обратиться к страховщику.</w:t>
      </w:r>
    </w:p>
    <w:p w14:paraId="7C780DD2" w14:textId="4831AFC2" w:rsidR="00056811" w:rsidRPr="00F82C59" w:rsidRDefault="00B80545" w:rsidP="00C30808">
      <w:pPr>
        <w:spacing w:after="0" w:line="240" w:lineRule="auto"/>
        <w:ind w:right="16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82C59"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  <w:t xml:space="preserve">Размер страховых премий (стоимости полисов) указан в программах страхования / офертах. </w:t>
      </w:r>
      <w:r w:rsidR="006F64CC" w:rsidRPr="00F82C59"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</w:rPr>
        <w:t>Получатель страховой услуги</w:t>
      </w:r>
      <w:r w:rsidRPr="00F82C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вправе запросить информацию о размере вознаграждения страхового агента</w:t>
      </w:r>
      <w:r w:rsidRPr="00F82C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33739589" w14:textId="77777777" w:rsidR="00A27FDF" w:rsidRPr="00F82C59" w:rsidRDefault="00A27FDF" w:rsidP="00B80545">
      <w:pPr>
        <w:ind w:right="1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E0754B" w14:textId="77777777" w:rsidR="00A27FDF" w:rsidRDefault="00A27FDF" w:rsidP="00B80545">
      <w:pPr>
        <w:ind w:right="167"/>
        <w:jc w:val="both"/>
      </w:pPr>
    </w:p>
    <w:sectPr w:rsidR="00A27FDF" w:rsidSect="00C8162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8D8B" w14:textId="77777777" w:rsidR="00B86F8D" w:rsidRDefault="00B86F8D" w:rsidP="00B80545">
      <w:pPr>
        <w:spacing w:after="0" w:line="240" w:lineRule="auto"/>
      </w:pPr>
      <w:r>
        <w:separator/>
      </w:r>
    </w:p>
  </w:endnote>
  <w:endnote w:type="continuationSeparator" w:id="0">
    <w:p w14:paraId="0EC23E70" w14:textId="77777777" w:rsidR="00B86F8D" w:rsidRDefault="00B86F8D" w:rsidP="00B8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8AC1" w14:textId="77777777" w:rsidR="00B86F8D" w:rsidRDefault="00B86F8D" w:rsidP="00B80545">
      <w:pPr>
        <w:spacing w:after="0" w:line="240" w:lineRule="auto"/>
      </w:pPr>
      <w:r>
        <w:separator/>
      </w:r>
    </w:p>
  </w:footnote>
  <w:footnote w:type="continuationSeparator" w:id="0">
    <w:p w14:paraId="1F4F326A" w14:textId="77777777" w:rsidR="00B86F8D" w:rsidRDefault="00B86F8D" w:rsidP="00B8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933F4"/>
    <w:multiLevelType w:val="hybridMultilevel"/>
    <w:tmpl w:val="87BEE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45"/>
    <w:rsid w:val="00056811"/>
    <w:rsid w:val="00166DCC"/>
    <w:rsid w:val="006F64CC"/>
    <w:rsid w:val="007A3416"/>
    <w:rsid w:val="009A32F9"/>
    <w:rsid w:val="00A27FDF"/>
    <w:rsid w:val="00B706CA"/>
    <w:rsid w:val="00B80545"/>
    <w:rsid w:val="00B86F8D"/>
    <w:rsid w:val="00C30808"/>
    <w:rsid w:val="00C81620"/>
    <w:rsid w:val="00D06774"/>
    <w:rsid w:val="00F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0741"/>
  <w15:chartTrackingRefBased/>
  <w15:docId w15:val="{7C83975B-1983-4A9E-93B6-82B34AB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5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5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5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5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5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5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5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5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0545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8054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80545"/>
    <w:rPr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B8054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8054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8054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8054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2">
    <w:name w:val="Normal (Web)"/>
    <w:basedOn w:val="a"/>
    <w:uiPriority w:val="99"/>
    <w:semiHidden/>
    <w:unhideWhenUsed/>
    <w:rsid w:val="00A27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82C59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8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2insur.ru/ru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2insur.ru/public-off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2insur.ru/programms-ins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Риск Менеджмент</dc:creator>
  <cp:keywords/>
  <dc:description/>
  <cp:lastModifiedBy>Ушар Радда Владимировна</cp:lastModifiedBy>
  <cp:revision>2</cp:revision>
  <dcterms:created xsi:type="dcterms:W3CDTF">2026-04-27T03:21:00Z</dcterms:created>
  <dcterms:modified xsi:type="dcterms:W3CDTF">2026-04-27T03:21:00Z</dcterms:modified>
</cp:coreProperties>
</file>